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3EDDC4D2" w:rsidR="00880DFB" w:rsidRPr="00FA06C6" w:rsidRDefault="00880DFB" w:rsidP="00880DFB">
      <w:pPr>
        <w:pStyle w:val="3GPPHeader"/>
        <w:spacing w:after="0"/>
        <w:jc w:val="left"/>
        <w:rPr>
          <w:rFonts w:eastAsia="맑은 고딕"/>
          <w:lang w:eastAsia="ko-KR"/>
        </w:rPr>
      </w:pPr>
      <w:r w:rsidRPr="00CF3E42">
        <w:t>3GPP TSG-RAN WG2 Meeting #1</w:t>
      </w:r>
      <w:r w:rsidR="00F9260C" w:rsidRPr="00CF3E42">
        <w:t>2</w:t>
      </w:r>
      <w:r w:rsidR="00F67A3F" w:rsidRPr="00CF3E42">
        <w:t>4</w:t>
      </w:r>
      <w:r w:rsidRPr="00CF3E42">
        <w:rPr>
          <w:rFonts w:eastAsia="맑은 고딕"/>
          <w:lang w:eastAsia="ko-KR"/>
        </w:rPr>
        <w:t xml:space="preserve">                            </w:t>
      </w:r>
      <w:r w:rsidRPr="00CF3E42">
        <w:rPr>
          <w:rFonts w:eastAsia="맑은 고딕"/>
          <w:lang w:eastAsia="ko-KR"/>
        </w:rPr>
        <w:tab/>
      </w:r>
      <w:r w:rsidRPr="00CF3E42">
        <w:t>R2-2</w:t>
      </w:r>
      <w:r w:rsidR="002D1679" w:rsidRPr="00CF3E42">
        <w:t>3</w:t>
      </w:r>
      <w:r w:rsidR="00CF3E42" w:rsidRPr="00CF3E42">
        <w:t>13226</w:t>
      </w:r>
    </w:p>
    <w:p w14:paraId="1735A057" w14:textId="646FDBEC" w:rsidR="00CD3DC8" w:rsidRPr="00922EA7" w:rsidRDefault="00F67A3F" w:rsidP="00C34214">
      <w:pPr>
        <w:pStyle w:val="3GPPHeader"/>
        <w:rPr>
          <w:rFonts w:eastAsia="맑은 고딕"/>
          <w:lang w:eastAsia="ko-KR"/>
        </w:rPr>
      </w:pPr>
      <w:r>
        <w:rPr>
          <w:lang w:val="en-US"/>
        </w:rPr>
        <w:t>Chicago, USA</w:t>
      </w:r>
      <w:r w:rsidR="00C34214" w:rsidRPr="00C34214">
        <w:rPr>
          <w:lang w:val="en-US"/>
        </w:rPr>
        <w:t xml:space="preserve">, </w:t>
      </w:r>
      <w:r>
        <w:rPr>
          <w:lang w:val="en-US"/>
        </w:rPr>
        <w:t>November</w:t>
      </w:r>
      <w:r w:rsidR="00C34214" w:rsidRPr="00C34214">
        <w:rPr>
          <w:lang w:val="en-US"/>
        </w:rPr>
        <w:t xml:space="preserve"> </w:t>
      </w:r>
      <w:r>
        <w:rPr>
          <w:lang w:val="en-US"/>
        </w:rPr>
        <w:t>13</w:t>
      </w:r>
      <w:r w:rsidR="00C34214" w:rsidRPr="00C34214">
        <w:rPr>
          <w:lang w:val="en-US"/>
        </w:rPr>
        <w:t>th – 1</w:t>
      </w:r>
      <w:r>
        <w:rPr>
          <w:lang w:val="en-US"/>
        </w:rPr>
        <w:t>7</w:t>
      </w:r>
      <w:r w:rsidR="00C34214" w:rsidRPr="00C34214">
        <w:rPr>
          <w:lang w:val="en-US"/>
        </w:rPr>
        <w:t>th, 2023</w:t>
      </w:r>
      <w:r w:rsidR="00CD3DC8" w:rsidRPr="00922EA7">
        <w:rPr>
          <w:rFonts w:eastAsia="맑은 고딕"/>
          <w:lang w:eastAsia="ko-KR"/>
        </w:rPr>
        <w:t xml:space="preserve">                                             </w:t>
      </w:r>
      <w:r w:rsidR="00CD3DC8" w:rsidRPr="00922EA7">
        <w:rPr>
          <w:bCs/>
        </w:rPr>
        <w:tab/>
      </w:r>
    </w:p>
    <w:p w14:paraId="7F54F68E" w14:textId="140DD5EA"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0F37A1">
        <w:rPr>
          <w:rFonts w:cs="Arial"/>
          <w:b/>
          <w:bCs/>
          <w:sz w:val="24"/>
        </w:rPr>
        <w:t>7.11.2</w:t>
      </w:r>
      <w:r w:rsidR="004F11E8">
        <w:rPr>
          <w:rFonts w:cs="Arial"/>
          <w:b/>
          <w:bCs/>
          <w:sz w:val="24"/>
        </w:rPr>
        <w:t>.2</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7350CDC2"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28760D">
        <w:rPr>
          <w:rFonts w:ascii="Arial" w:eastAsia="맑은 고딕" w:hAnsi="Arial" w:cs="Arial"/>
          <w:b/>
          <w:sz w:val="24"/>
          <w:szCs w:val="24"/>
          <w:lang w:eastAsia="ko-KR"/>
        </w:rPr>
        <w:t>UP</w:t>
      </w:r>
      <w:r w:rsidR="0028760D" w:rsidRPr="008C09FD">
        <w:rPr>
          <w:rFonts w:ascii="Arial" w:eastAsia="맑은 고딕" w:hAnsi="Arial" w:cs="Arial"/>
          <w:b/>
          <w:sz w:val="24"/>
          <w:szCs w:val="24"/>
          <w:lang w:eastAsia="ko-KR"/>
        </w:rPr>
        <w:t xml:space="preserve"> </w:t>
      </w:r>
      <w:r w:rsidR="0028760D">
        <w:rPr>
          <w:rFonts w:ascii="Arial" w:eastAsia="맑은 고딕" w:hAnsi="Arial" w:cs="Arial"/>
          <w:b/>
          <w:sz w:val="24"/>
          <w:szCs w:val="24"/>
          <w:lang w:eastAsia="ko-KR"/>
        </w:rPr>
        <w:t>A</w:t>
      </w:r>
      <w:r w:rsidR="0028760D" w:rsidRPr="008C09FD">
        <w:rPr>
          <w:rFonts w:ascii="Arial" w:eastAsia="맑은 고딕" w:hAnsi="Arial" w:cs="Arial"/>
          <w:b/>
          <w:sz w:val="24"/>
          <w:szCs w:val="24"/>
          <w:lang w:eastAsia="ko-KR"/>
        </w:rPr>
        <w:t xml:space="preserve">spects for Multicast </w:t>
      </w:r>
      <w:r w:rsidR="0028760D">
        <w:rPr>
          <w:rFonts w:ascii="Arial" w:eastAsia="맑은 고딕" w:hAnsi="Arial" w:cs="Arial"/>
          <w:b/>
          <w:sz w:val="24"/>
          <w:szCs w:val="24"/>
          <w:lang w:eastAsia="ko-KR"/>
        </w:rPr>
        <w:t>R</w:t>
      </w:r>
      <w:r w:rsidR="0028760D" w:rsidRPr="008C09FD">
        <w:rPr>
          <w:rFonts w:ascii="Arial" w:eastAsia="맑은 고딕" w:hAnsi="Arial" w:cs="Arial"/>
          <w:b/>
          <w:sz w:val="24"/>
          <w:szCs w:val="24"/>
          <w:lang w:eastAsia="ko-KR"/>
        </w:rPr>
        <w:t>eception</w:t>
      </w:r>
      <w:r w:rsidR="00924D68">
        <w:rPr>
          <w:rFonts w:ascii="Arial" w:eastAsia="맑은 고딕" w:hAnsi="Arial" w:cs="Arial"/>
          <w:b/>
          <w:sz w:val="24"/>
          <w:szCs w:val="24"/>
          <w:lang w:eastAsia="ko-KR"/>
        </w:rPr>
        <w:t xml:space="preserve"> </w:t>
      </w:r>
      <w:r w:rsidR="00924D68" w:rsidRPr="00924D68">
        <w:rPr>
          <w:rFonts w:ascii="Arial" w:eastAsia="맑은 고딕" w:hAnsi="Arial" w:cs="Arial"/>
          <w:b/>
          <w:sz w:val="24"/>
          <w:szCs w:val="24"/>
          <w:lang w:eastAsia="ko-KR"/>
        </w:rPr>
        <w:t>in RRC_INACTIVE</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2BFB95A5" w14:textId="1D498DB5" w:rsidR="002D1679" w:rsidRDefault="002E6112" w:rsidP="002D1679">
      <w:pPr>
        <w:spacing w:before="240"/>
        <w:rPr>
          <w:lang w:eastAsia="ko-KR"/>
        </w:rPr>
      </w:pPr>
      <w:r>
        <w:rPr>
          <w:lang w:eastAsia="ko-KR"/>
        </w:rPr>
        <w:t>In RAN2#</w:t>
      </w:r>
      <w:r w:rsidR="00A05659">
        <w:rPr>
          <w:lang w:eastAsia="ko-KR"/>
        </w:rPr>
        <w:t>12</w:t>
      </w:r>
      <w:r w:rsidR="00816612">
        <w:rPr>
          <w:lang w:eastAsia="ko-KR"/>
        </w:rPr>
        <w:t>3</w:t>
      </w:r>
      <w:r w:rsidR="00072272">
        <w:rPr>
          <w:lang w:eastAsia="ko-KR"/>
        </w:rPr>
        <w:t>bis</w:t>
      </w:r>
      <w:r>
        <w:rPr>
          <w:lang w:eastAsia="ko-KR"/>
        </w:rPr>
        <w:t xml:space="preserve"> meeting, RAN2 </w:t>
      </w:r>
      <w:r w:rsidR="00072272">
        <w:rPr>
          <w:lang w:eastAsia="ko-KR"/>
        </w:rPr>
        <w:t>agreed to introduce a service specific 1-bit indication to indicate PDCP COUNT synchronization in the RNA, as follows</w:t>
      </w:r>
      <w:r w:rsidR="001B6510">
        <w:rPr>
          <w:lang w:eastAsia="ko-KR"/>
        </w:rPr>
        <w:t>:</w:t>
      </w:r>
    </w:p>
    <w:p w14:paraId="4E22BF00" w14:textId="77777777" w:rsidR="00072272" w:rsidRPr="00650AD5" w:rsidRDefault="00072272" w:rsidP="00072272">
      <w:pPr>
        <w:pStyle w:val="Agreement"/>
        <w:tabs>
          <w:tab w:val="clear" w:pos="-2152"/>
          <w:tab w:val="num" w:pos="426"/>
        </w:tabs>
        <w:spacing w:line="240" w:lineRule="auto"/>
        <w:ind w:left="426"/>
      </w:pPr>
      <w:r w:rsidRPr="00650AD5">
        <w:t>A 1-bit indication on cell PDCP COUNT synchronization for an MBS service is present with the INACTIVE MRB PTM configuration provided in RRCRelease, and cells in the RNA area are synchronized</w:t>
      </w:r>
      <w:r>
        <w:t xml:space="preserve"> for PDCP COUNT</w:t>
      </w:r>
      <w:r w:rsidRPr="00650AD5">
        <w:t>.</w:t>
      </w:r>
    </w:p>
    <w:p w14:paraId="4D3039B5" w14:textId="6FA1A7F0" w:rsidR="00072272" w:rsidRPr="00072272" w:rsidRDefault="00072272" w:rsidP="002D1679">
      <w:pPr>
        <w:spacing w:before="240"/>
        <w:rPr>
          <w:rFonts w:eastAsiaTheme="minorEastAsia"/>
          <w:lang w:eastAsia="ko-KR"/>
        </w:rPr>
      </w:pPr>
      <w:r>
        <w:rPr>
          <w:rFonts w:eastAsiaTheme="minorEastAsia" w:hint="eastAsia"/>
          <w:lang w:eastAsia="ko-KR"/>
        </w:rPr>
        <w:t>This contribution discusses lower layer as</w:t>
      </w:r>
      <w:r>
        <w:rPr>
          <w:rFonts w:eastAsiaTheme="minorEastAsia"/>
          <w:lang w:eastAsia="ko-KR"/>
        </w:rPr>
        <w:t>pects.</w:t>
      </w:r>
    </w:p>
    <w:p w14:paraId="313D4840" w14:textId="66E4F0FF" w:rsidR="001B6510" w:rsidRDefault="001B6510" w:rsidP="001B6510">
      <w:pPr>
        <w:spacing w:before="240"/>
        <w:rPr>
          <w:lang w:eastAsia="ko-KR"/>
        </w:rPr>
      </w:pPr>
    </w:p>
    <w:p w14:paraId="070A2445" w14:textId="77777777" w:rsidR="002559DF" w:rsidRPr="00C93DB7" w:rsidRDefault="002559DF" w:rsidP="002559DF">
      <w:pPr>
        <w:pStyle w:val="1"/>
      </w:pPr>
      <w:r w:rsidRPr="00C93DB7">
        <w:t>Discussion</w:t>
      </w:r>
    </w:p>
    <w:p w14:paraId="39CE7920" w14:textId="77777777" w:rsidR="0028760D" w:rsidRDefault="0028760D" w:rsidP="0028760D">
      <w:pPr>
        <w:pStyle w:val="2"/>
        <w:rPr>
          <w:rFonts w:eastAsiaTheme="minorEastAsia"/>
          <w:lang w:eastAsia="ko-KR"/>
        </w:rPr>
      </w:pPr>
      <w:r>
        <w:rPr>
          <w:rFonts w:eastAsiaTheme="minorEastAsia"/>
          <w:lang w:eastAsia="ko-KR"/>
        </w:rPr>
        <w:t>HARQ Continuation during State Transition and Mobility</w:t>
      </w:r>
    </w:p>
    <w:p w14:paraId="41099C1D" w14:textId="77777777" w:rsidR="0028760D" w:rsidRDefault="0028760D" w:rsidP="0028760D">
      <w:pPr>
        <w:tabs>
          <w:tab w:val="left" w:pos="1590"/>
        </w:tabs>
        <w:jc w:val="both"/>
        <w:rPr>
          <w:rFonts w:eastAsiaTheme="minorEastAsia"/>
          <w:lang w:val="en-US" w:eastAsia="ko-KR"/>
        </w:rPr>
      </w:pPr>
      <w:r>
        <w:rPr>
          <w:rFonts w:eastAsiaTheme="minorEastAsia"/>
          <w:lang w:val="en-US" w:eastAsia="ko-KR"/>
        </w:rPr>
        <w:t xml:space="preserve">In RAN2#123 meeting, RAN2 agreed to not suspend MRBs to be used in RRC_INACTIVE.  It means the PDCP state variables and COUNT values are continued. But, RAN2 needs to discuss lower-layer operation, specifically on HARQ continuation. </w:t>
      </w:r>
    </w:p>
    <w:p w14:paraId="28B6D60F" w14:textId="77777777" w:rsidR="0028760D" w:rsidRDefault="0028760D" w:rsidP="0028760D">
      <w:pPr>
        <w:spacing w:before="240"/>
        <w:jc w:val="both"/>
        <w:rPr>
          <w:rFonts w:eastAsiaTheme="minorEastAsia"/>
          <w:lang w:val="en-US" w:eastAsia="ko-KR"/>
        </w:rPr>
      </w:pPr>
      <w:r>
        <w:rPr>
          <w:rFonts w:eastAsiaTheme="minorEastAsia"/>
          <w:lang w:val="en-US" w:eastAsia="ko-KR"/>
        </w:rPr>
        <w:t>When the UE enters RRC_INACTIVE, MAC reset with DL HARQ buffer flushing is performed. Considering MRBs are UM bearers and RRC Release does not frequently happen. We do not need any special handling of HARQ for multicast MRB at state transition.</w:t>
      </w:r>
    </w:p>
    <w:p w14:paraId="093EC8E8" w14:textId="48701941" w:rsidR="0028760D" w:rsidRDefault="0028760D" w:rsidP="0028760D">
      <w:pPr>
        <w:spacing w:before="240"/>
        <w:jc w:val="both"/>
        <w:rPr>
          <w:rFonts w:eastAsiaTheme="minorEastAsia"/>
          <w:lang w:val="en-US" w:eastAsia="ko-KR"/>
        </w:rPr>
      </w:pPr>
      <w:r>
        <w:rPr>
          <w:rFonts w:eastAsiaTheme="minorEastAsia"/>
          <w:lang w:val="en-US" w:eastAsia="ko-KR"/>
        </w:rPr>
        <w:t xml:space="preserve">Moreover, the HARQ continuation may not be always feasible. In case that the multicast CFR for RRC_CONNECTED and that for RRC_INACTIVE are different, HARQ continuation is not possible, since the  same packet transmitted via the same HARQ process and the same NDI are too strong NW restriction. Thus, we </w:t>
      </w:r>
      <w:r w:rsidR="0006503C">
        <w:rPr>
          <w:rFonts w:eastAsiaTheme="minorEastAsia" w:hint="eastAsia"/>
          <w:lang w:val="en-US" w:eastAsia="ko-KR"/>
        </w:rPr>
        <w:t>prefer to</w:t>
      </w:r>
      <w:r>
        <w:rPr>
          <w:rFonts w:eastAsiaTheme="minorEastAsia"/>
          <w:lang w:val="en-US" w:eastAsia="ko-KR"/>
        </w:rPr>
        <w:t xml:space="preserve"> have a single procedure. </w:t>
      </w:r>
    </w:p>
    <w:p w14:paraId="48AE1C63" w14:textId="2EBE5160" w:rsidR="0028760D" w:rsidRDefault="0028760D" w:rsidP="0028760D">
      <w:pPr>
        <w:spacing w:before="240"/>
        <w:rPr>
          <w:rFonts w:eastAsiaTheme="minorEastAsia"/>
          <w:b/>
          <w:lang w:val="en-US" w:eastAsia="ko-KR"/>
        </w:rPr>
      </w:pPr>
      <w:r w:rsidRPr="00A9461C">
        <w:rPr>
          <w:rFonts w:eastAsiaTheme="minorEastAsia"/>
          <w:b/>
          <w:lang w:val="en-US" w:eastAsia="ko-KR"/>
        </w:rPr>
        <w:t xml:space="preserve">Proposal </w:t>
      </w:r>
      <w:r>
        <w:rPr>
          <w:rFonts w:eastAsiaTheme="minorEastAsia"/>
          <w:b/>
          <w:lang w:val="en-US" w:eastAsia="ko-KR"/>
        </w:rPr>
        <w:t>1</w:t>
      </w:r>
      <w:r w:rsidRPr="00A9461C">
        <w:rPr>
          <w:rFonts w:eastAsiaTheme="minorEastAsia"/>
          <w:b/>
          <w:lang w:val="en-US" w:eastAsia="ko-KR"/>
        </w:rPr>
        <w:t>: HARQ continuation for multicast reception during RRC state transition is not supported. DL soft buffer is flushed (no specification impact).</w:t>
      </w:r>
    </w:p>
    <w:p w14:paraId="1FC2EA99" w14:textId="13AEBFE8" w:rsidR="00593CD4" w:rsidRDefault="00593CD4" w:rsidP="00593CD4">
      <w:pPr>
        <w:pStyle w:val="2"/>
        <w:rPr>
          <w:rFonts w:eastAsiaTheme="minorEastAsia"/>
          <w:lang w:eastAsia="ko-KR"/>
        </w:rPr>
      </w:pPr>
      <w:r>
        <w:rPr>
          <w:rFonts w:eastAsiaTheme="minorEastAsia"/>
          <w:lang w:eastAsia="ko-KR"/>
        </w:rPr>
        <w:t>HARQ Continuation during Mobility</w:t>
      </w:r>
    </w:p>
    <w:p w14:paraId="73074CB5" w14:textId="77777777" w:rsidR="00333EBB" w:rsidRDefault="0028760D" w:rsidP="00593CD4">
      <w:pPr>
        <w:spacing w:before="240"/>
        <w:rPr>
          <w:rFonts w:eastAsiaTheme="minorEastAsia"/>
          <w:lang w:val="en-US" w:eastAsia="ko-KR"/>
        </w:rPr>
      </w:pPr>
      <w:r>
        <w:rPr>
          <w:rFonts w:eastAsiaTheme="minorEastAsia" w:hint="eastAsia"/>
          <w:lang w:val="en-US" w:eastAsia="ko-KR"/>
        </w:rPr>
        <w:t>A similar issue exists for cell reselection.</w:t>
      </w:r>
      <w:r w:rsidR="00940CA7">
        <w:rPr>
          <w:rFonts w:eastAsiaTheme="minorEastAsia"/>
          <w:lang w:val="en-US" w:eastAsia="ko-KR"/>
        </w:rPr>
        <w:t xml:space="preserve"> Rel-18 eMBS support PDCP COUNT </w:t>
      </w:r>
      <w:r w:rsidR="00333EBB">
        <w:rPr>
          <w:rFonts w:eastAsiaTheme="minorEastAsia"/>
          <w:lang w:val="en-US" w:eastAsia="ko-KR"/>
        </w:rPr>
        <w:t>synchronization</w:t>
      </w:r>
      <w:r w:rsidR="00940CA7">
        <w:rPr>
          <w:rFonts w:eastAsiaTheme="minorEastAsia"/>
          <w:lang w:val="en-US" w:eastAsia="ko-KR"/>
        </w:rPr>
        <w:t xml:space="preserve"> in the RNA. </w:t>
      </w:r>
      <w:r w:rsidR="00333EBB">
        <w:rPr>
          <w:rFonts w:eastAsiaTheme="minorEastAsia"/>
          <w:lang w:val="en-US" w:eastAsia="ko-KR"/>
        </w:rPr>
        <w:t>However, HARQ-level synchronization, e.g. HARQ Process ID and NDI, is a totally different issue, since each cell could have an independent scheduler.</w:t>
      </w:r>
      <w:r>
        <w:rPr>
          <w:rFonts w:eastAsiaTheme="minorEastAsia" w:hint="eastAsia"/>
          <w:lang w:val="en-US" w:eastAsia="ko-KR"/>
        </w:rPr>
        <w:t xml:space="preserve"> </w:t>
      </w:r>
    </w:p>
    <w:p w14:paraId="5437EB0F" w14:textId="77777777" w:rsidR="00333EBB" w:rsidRDefault="0028760D" w:rsidP="00333EBB">
      <w:pPr>
        <w:pStyle w:val="a6"/>
        <w:numPr>
          <w:ilvl w:val="0"/>
          <w:numId w:val="28"/>
        </w:numPr>
        <w:spacing w:before="240"/>
        <w:rPr>
          <w:rFonts w:eastAsiaTheme="minorEastAsia"/>
          <w:lang w:val="en-US" w:eastAsia="ko-KR"/>
        </w:rPr>
      </w:pPr>
      <w:r w:rsidRPr="00333EBB">
        <w:rPr>
          <w:rFonts w:eastAsiaTheme="minorEastAsia"/>
          <w:lang w:val="en-US" w:eastAsia="ko-KR"/>
        </w:rPr>
        <w:t xml:space="preserve">In case of PDCP non-synchronization, HARQ-level synchronization is not possible. </w:t>
      </w:r>
    </w:p>
    <w:p w14:paraId="72D06EBC" w14:textId="49A969A1" w:rsidR="00333EBB" w:rsidRDefault="0028760D" w:rsidP="00D56691">
      <w:pPr>
        <w:pStyle w:val="a6"/>
        <w:numPr>
          <w:ilvl w:val="0"/>
          <w:numId w:val="28"/>
        </w:numPr>
        <w:spacing w:before="240"/>
        <w:rPr>
          <w:rFonts w:eastAsiaTheme="minorEastAsia"/>
          <w:lang w:val="en-US" w:eastAsia="ko-KR"/>
        </w:rPr>
      </w:pPr>
      <w:r w:rsidRPr="00333EBB">
        <w:rPr>
          <w:rFonts w:eastAsiaTheme="minorEastAsia" w:hint="eastAsia"/>
          <w:lang w:val="en-US" w:eastAsia="ko-KR"/>
        </w:rPr>
        <w:t xml:space="preserve">Even if PDCP COUNT is synchronized between multiple </w:t>
      </w:r>
      <w:r w:rsidRPr="00333EBB">
        <w:rPr>
          <w:rFonts w:eastAsiaTheme="minorEastAsia"/>
          <w:lang w:val="en-US" w:eastAsia="ko-KR"/>
        </w:rPr>
        <w:t>cells, each cell has independent scheduler for each grant with specific scheduling time, e.g. subframe,</w:t>
      </w:r>
      <w:bookmarkStart w:id="0" w:name="_GoBack"/>
      <w:bookmarkEnd w:id="0"/>
      <w:r w:rsidRPr="00333EBB">
        <w:rPr>
          <w:rFonts w:eastAsiaTheme="minorEastAsia"/>
          <w:lang w:val="en-US" w:eastAsia="ko-KR"/>
        </w:rPr>
        <w:t xml:space="preserve"> slot,</w:t>
      </w:r>
      <w:r w:rsidR="00333EBB" w:rsidRPr="00333EBB">
        <w:rPr>
          <w:rFonts w:eastAsiaTheme="minorEastAsia"/>
          <w:lang w:val="en-US" w:eastAsia="ko-KR"/>
        </w:rPr>
        <w:t xml:space="preserve"> HARQ Process ID and NDI</w:t>
      </w:r>
      <w:r w:rsidRPr="00333EBB">
        <w:rPr>
          <w:rFonts w:eastAsiaTheme="minorEastAsia"/>
          <w:lang w:val="en-US" w:eastAsia="ko-KR"/>
        </w:rPr>
        <w:t xml:space="preserve">. HARQ-level synchronization is also too strict restriction to the network. </w:t>
      </w:r>
    </w:p>
    <w:p w14:paraId="0346306A" w14:textId="3978BA00" w:rsidR="00333EBB" w:rsidRPr="00333EBB" w:rsidRDefault="00333EBB" w:rsidP="00D56691">
      <w:pPr>
        <w:pStyle w:val="a6"/>
        <w:numPr>
          <w:ilvl w:val="0"/>
          <w:numId w:val="28"/>
        </w:numPr>
        <w:spacing w:before="240"/>
        <w:rPr>
          <w:rFonts w:eastAsiaTheme="minorEastAsia"/>
          <w:lang w:val="en-US" w:eastAsia="ko-KR"/>
        </w:rPr>
      </w:pPr>
      <w:r>
        <w:rPr>
          <w:rFonts w:eastAsiaTheme="minorEastAsia"/>
          <w:lang w:val="en-US" w:eastAsia="ko-KR"/>
        </w:rPr>
        <w:lastRenderedPageBreak/>
        <w:t>In case of some MRBs with PDCP synchronization and other MRBs without synchronization, MAC entity cannot distinguish the MRB ID/LCID until the successful decoding. Selective reset is not possible.</w:t>
      </w:r>
    </w:p>
    <w:p w14:paraId="5A83CCF7" w14:textId="34FF30C8" w:rsidR="0028760D" w:rsidRPr="00333EBB" w:rsidRDefault="0028760D" w:rsidP="00333EBB">
      <w:pPr>
        <w:spacing w:before="240"/>
        <w:rPr>
          <w:rFonts w:eastAsiaTheme="minorEastAsia"/>
          <w:lang w:val="en-US" w:eastAsia="ko-KR"/>
        </w:rPr>
      </w:pPr>
      <w:r w:rsidRPr="00333EBB">
        <w:rPr>
          <w:rFonts w:eastAsiaTheme="minorEastAsia"/>
          <w:lang w:val="en-US" w:eastAsia="ko-KR"/>
        </w:rPr>
        <w:t>Thus, it is natural to have a common procedure irrespective of PDCP synchronization.</w:t>
      </w:r>
      <w:r w:rsidR="00333EBB">
        <w:rPr>
          <w:rFonts w:eastAsiaTheme="minorEastAsia"/>
          <w:lang w:val="en-US" w:eastAsia="ko-KR"/>
        </w:rPr>
        <w:t xml:space="preserve"> In the current running CRs, how to handle the MAC entity and HARQ functions is not specified at all. In our view, at</w:t>
      </w:r>
      <w:r w:rsidR="0048651B">
        <w:rPr>
          <w:rFonts w:eastAsiaTheme="minorEastAsia"/>
          <w:lang w:val="en-US" w:eastAsia="ko-KR"/>
        </w:rPr>
        <w:t xml:space="preserve"> every</w:t>
      </w:r>
      <w:r w:rsidR="00333EBB">
        <w:rPr>
          <w:rFonts w:eastAsiaTheme="minorEastAsia"/>
          <w:lang w:val="en-US" w:eastAsia="ko-KR"/>
        </w:rPr>
        <w:t xml:space="preserve"> cell reselection, </w:t>
      </w:r>
      <w:r w:rsidR="0048651B">
        <w:rPr>
          <w:rFonts w:eastAsiaTheme="minorEastAsia"/>
          <w:lang w:val="en-US" w:eastAsia="ko-KR"/>
        </w:rPr>
        <w:t>at least HARQ entity needs to be reset by DL soft buffer flush.</w:t>
      </w:r>
    </w:p>
    <w:p w14:paraId="06EB9E22" w14:textId="292D53C2" w:rsidR="00B422EB" w:rsidRDefault="0028760D" w:rsidP="005D3C98">
      <w:pPr>
        <w:overflowPunct/>
        <w:autoSpaceDE/>
        <w:autoSpaceDN/>
        <w:adjustRightInd/>
        <w:spacing w:before="240" w:after="160" w:line="259" w:lineRule="auto"/>
        <w:textAlignment w:val="auto"/>
        <w:rPr>
          <w:rFonts w:eastAsiaTheme="minorEastAsia"/>
          <w:lang w:eastAsia="ko-KR"/>
        </w:rPr>
      </w:pPr>
      <w:r w:rsidRPr="004B0102">
        <w:rPr>
          <w:rFonts w:eastAsiaTheme="minorEastAsia"/>
          <w:b/>
          <w:lang w:val="en-US" w:eastAsia="ko-KR"/>
        </w:rPr>
        <w:t xml:space="preserve">Proposal </w:t>
      </w:r>
      <w:r>
        <w:rPr>
          <w:rFonts w:eastAsiaTheme="minorEastAsia"/>
          <w:b/>
          <w:lang w:val="en-US" w:eastAsia="ko-KR"/>
        </w:rPr>
        <w:t>2</w:t>
      </w:r>
      <w:r w:rsidRPr="004B0102">
        <w:rPr>
          <w:rFonts w:eastAsiaTheme="minorEastAsia"/>
          <w:b/>
          <w:lang w:val="en-US" w:eastAsia="ko-KR"/>
        </w:rPr>
        <w:t>. At cell reselection</w:t>
      </w:r>
      <w:r>
        <w:rPr>
          <w:rFonts w:eastAsiaTheme="minorEastAsia"/>
          <w:b/>
          <w:lang w:val="en-US" w:eastAsia="ko-KR"/>
        </w:rPr>
        <w:t xml:space="preserve"> with service continuity for multicast (i.e. same multicast service is provided in the target cell)</w:t>
      </w:r>
      <w:r w:rsidRPr="004B0102">
        <w:rPr>
          <w:rFonts w:eastAsiaTheme="minorEastAsia"/>
          <w:b/>
          <w:lang w:val="en-US" w:eastAsia="ko-KR"/>
        </w:rPr>
        <w:t>, DL soft buffer is flushed</w:t>
      </w:r>
      <w:r>
        <w:rPr>
          <w:rFonts w:eastAsiaTheme="minorEastAsia"/>
          <w:b/>
          <w:lang w:val="en-US" w:eastAsia="ko-KR"/>
        </w:rPr>
        <w:t xml:space="preserve"> regardless of PDCP COUNT continuation</w:t>
      </w:r>
      <w:r w:rsidRPr="004B0102">
        <w:rPr>
          <w:rFonts w:eastAsiaTheme="minorEastAsia"/>
          <w:b/>
          <w:lang w:val="en-US" w:eastAsia="ko-KR"/>
        </w:rPr>
        <w:t>.</w:t>
      </w:r>
    </w:p>
    <w:p w14:paraId="6FD0A1DE" w14:textId="24780401" w:rsidR="001B6510" w:rsidRDefault="001B6510" w:rsidP="001B6510">
      <w:pPr>
        <w:jc w:val="both"/>
      </w:pPr>
    </w:p>
    <w:p w14:paraId="48414B38" w14:textId="5766D9D2" w:rsidR="001B6510" w:rsidRPr="007102EA" w:rsidRDefault="001B6510" w:rsidP="002B25CC">
      <w:pPr>
        <w:pStyle w:val="1"/>
        <w:jc w:val="both"/>
      </w:pPr>
      <w:r>
        <w:t>Conclusion</w:t>
      </w:r>
    </w:p>
    <w:p w14:paraId="436C2869" w14:textId="19297B07" w:rsidR="00254BC5" w:rsidRDefault="004B347C" w:rsidP="001B6510">
      <w:pPr>
        <w:rPr>
          <w:lang w:eastAsia="ko-KR"/>
        </w:rPr>
      </w:pPr>
      <w:r w:rsidRPr="007102EA">
        <w:rPr>
          <w:lang w:eastAsia="ko-KR"/>
        </w:rPr>
        <w:t>RAN2 is requested to discuss and agree to the following proposals:</w:t>
      </w:r>
    </w:p>
    <w:p w14:paraId="6D5C8116" w14:textId="77777777" w:rsidR="000B181D" w:rsidRDefault="000B181D" w:rsidP="000B181D">
      <w:pPr>
        <w:spacing w:before="240"/>
        <w:rPr>
          <w:rFonts w:eastAsiaTheme="minorEastAsia"/>
          <w:b/>
          <w:lang w:val="en-US" w:eastAsia="ko-KR"/>
        </w:rPr>
      </w:pPr>
      <w:r w:rsidRPr="00A9461C">
        <w:rPr>
          <w:rFonts w:eastAsiaTheme="minorEastAsia"/>
          <w:b/>
          <w:lang w:val="en-US" w:eastAsia="ko-KR"/>
        </w:rPr>
        <w:t xml:space="preserve">Proposal </w:t>
      </w:r>
      <w:r>
        <w:rPr>
          <w:rFonts w:eastAsiaTheme="minorEastAsia"/>
          <w:b/>
          <w:lang w:val="en-US" w:eastAsia="ko-KR"/>
        </w:rPr>
        <w:t>1</w:t>
      </w:r>
      <w:r w:rsidRPr="00A9461C">
        <w:rPr>
          <w:rFonts w:eastAsiaTheme="minorEastAsia"/>
          <w:b/>
          <w:lang w:val="en-US" w:eastAsia="ko-KR"/>
        </w:rPr>
        <w:t>: HARQ continuation for multicast reception during RRC state transition is not supported. DL soft buffer is flushed (no specification impact).</w:t>
      </w:r>
    </w:p>
    <w:p w14:paraId="6AEE0A3F" w14:textId="77777777" w:rsidR="000B181D" w:rsidRDefault="000B181D" w:rsidP="000B181D">
      <w:pPr>
        <w:overflowPunct/>
        <w:autoSpaceDE/>
        <w:autoSpaceDN/>
        <w:adjustRightInd/>
        <w:spacing w:before="240" w:after="160" w:line="259" w:lineRule="auto"/>
        <w:textAlignment w:val="auto"/>
        <w:rPr>
          <w:rFonts w:eastAsiaTheme="minorEastAsia"/>
          <w:lang w:eastAsia="ko-KR"/>
        </w:rPr>
      </w:pPr>
      <w:r w:rsidRPr="004B0102">
        <w:rPr>
          <w:rFonts w:eastAsiaTheme="minorEastAsia"/>
          <w:b/>
          <w:lang w:val="en-US" w:eastAsia="ko-KR"/>
        </w:rPr>
        <w:t xml:space="preserve">Proposal </w:t>
      </w:r>
      <w:r>
        <w:rPr>
          <w:rFonts w:eastAsiaTheme="minorEastAsia"/>
          <w:b/>
          <w:lang w:val="en-US" w:eastAsia="ko-KR"/>
        </w:rPr>
        <w:t>2</w:t>
      </w:r>
      <w:r w:rsidRPr="004B0102">
        <w:rPr>
          <w:rFonts w:eastAsiaTheme="minorEastAsia"/>
          <w:b/>
          <w:lang w:val="en-US" w:eastAsia="ko-KR"/>
        </w:rPr>
        <w:t>. At cell reselection</w:t>
      </w:r>
      <w:r>
        <w:rPr>
          <w:rFonts w:eastAsiaTheme="minorEastAsia"/>
          <w:b/>
          <w:lang w:val="en-US" w:eastAsia="ko-KR"/>
        </w:rPr>
        <w:t xml:space="preserve"> with service continuity for multicast (i.e. same multicast service is provided in the target cell)</w:t>
      </w:r>
      <w:r w:rsidRPr="004B0102">
        <w:rPr>
          <w:rFonts w:eastAsiaTheme="minorEastAsia"/>
          <w:b/>
          <w:lang w:val="en-US" w:eastAsia="ko-KR"/>
        </w:rPr>
        <w:t>, DL soft buffer is flushed</w:t>
      </w:r>
      <w:r>
        <w:rPr>
          <w:rFonts w:eastAsiaTheme="minorEastAsia"/>
          <w:b/>
          <w:lang w:val="en-US" w:eastAsia="ko-KR"/>
        </w:rPr>
        <w:t xml:space="preserve"> regardless of PDCP COUNT continuation</w:t>
      </w:r>
      <w:r w:rsidRPr="004B0102">
        <w:rPr>
          <w:rFonts w:eastAsiaTheme="minorEastAsia"/>
          <w:b/>
          <w:lang w:val="en-US" w:eastAsia="ko-KR"/>
        </w:rPr>
        <w:t>.</w:t>
      </w:r>
    </w:p>
    <w:p w14:paraId="1B275DD9" w14:textId="77777777" w:rsidR="00FF1F66" w:rsidRPr="004B2C98" w:rsidRDefault="00FF1F66" w:rsidP="001B6510">
      <w:pPr>
        <w:rPr>
          <w:b/>
          <w:lang w:eastAsia="ko-KR"/>
        </w:rPr>
      </w:pPr>
    </w:p>
    <w:sectPr w:rsidR="00FF1F66" w:rsidRPr="004B2C9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219F6" w14:textId="77777777" w:rsidR="00146EFC" w:rsidRDefault="00146EFC" w:rsidP="000B4C53">
      <w:pPr>
        <w:spacing w:after="0"/>
      </w:pPr>
      <w:r>
        <w:separator/>
      </w:r>
    </w:p>
  </w:endnote>
  <w:endnote w:type="continuationSeparator" w:id="0">
    <w:p w14:paraId="0BDCC209" w14:textId="77777777" w:rsidR="00146EFC" w:rsidRDefault="00146EFC"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C412F" w14:textId="77777777" w:rsidR="00146EFC" w:rsidRDefault="00146EFC" w:rsidP="000B4C53">
      <w:pPr>
        <w:spacing w:after="0"/>
      </w:pPr>
      <w:r>
        <w:separator/>
      </w:r>
    </w:p>
  </w:footnote>
  <w:footnote w:type="continuationSeparator" w:id="0">
    <w:p w14:paraId="2B266572" w14:textId="77777777" w:rsidR="00146EFC" w:rsidRDefault="00146EFC"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60BA1768"/>
    <w:multiLevelType w:val="hybridMultilevel"/>
    <w:tmpl w:val="1EC6D9AC"/>
    <w:lvl w:ilvl="0" w:tplc="A7F8596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7"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6"/>
  </w:num>
  <w:num w:numId="3">
    <w:abstractNumId w:val="21"/>
  </w:num>
  <w:num w:numId="4">
    <w:abstractNumId w:val="20"/>
  </w:num>
  <w:num w:numId="5">
    <w:abstractNumId w:val="2"/>
  </w:num>
  <w:num w:numId="6">
    <w:abstractNumId w:val="6"/>
  </w:num>
  <w:num w:numId="7">
    <w:abstractNumId w:val="23"/>
  </w:num>
  <w:num w:numId="8">
    <w:abstractNumId w:val="18"/>
  </w:num>
  <w:num w:numId="9">
    <w:abstractNumId w:val="15"/>
  </w:num>
  <w:num w:numId="10">
    <w:abstractNumId w:val="9"/>
  </w:num>
  <w:num w:numId="11">
    <w:abstractNumId w:val="4"/>
  </w:num>
  <w:num w:numId="12">
    <w:abstractNumId w:val="10"/>
  </w:num>
  <w:num w:numId="13">
    <w:abstractNumId w:val="11"/>
  </w:num>
  <w:num w:numId="14">
    <w:abstractNumId w:val="17"/>
  </w:num>
  <w:num w:numId="15">
    <w:abstractNumId w:val="12"/>
  </w:num>
  <w:num w:numId="16">
    <w:abstractNumId w:val="16"/>
  </w:num>
  <w:num w:numId="17">
    <w:abstractNumId w:val="7"/>
  </w:num>
  <w:num w:numId="18">
    <w:abstractNumId w:val="13"/>
  </w:num>
  <w:num w:numId="19">
    <w:abstractNumId w:val="5"/>
  </w:num>
  <w:num w:numId="20">
    <w:abstractNumId w:val="3"/>
  </w:num>
  <w:num w:numId="21">
    <w:abstractNumId w:val="1"/>
  </w:num>
  <w:num w:numId="22">
    <w:abstractNumId w:val="22"/>
  </w:num>
  <w:num w:numId="23">
    <w:abstractNumId w:val="25"/>
  </w:num>
  <w:num w:numId="24">
    <w:abstractNumId w:val="19"/>
  </w:num>
  <w:num w:numId="25">
    <w:abstractNumId w:val="8"/>
  </w:num>
  <w:num w:numId="26">
    <w:abstractNumId w:val="14"/>
  </w:num>
  <w:num w:numId="27">
    <w:abstractNumId w:val="27"/>
  </w:num>
  <w:num w:numId="28">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1C67"/>
    <w:rsid w:val="0003286A"/>
    <w:rsid w:val="00033C91"/>
    <w:rsid w:val="00036E43"/>
    <w:rsid w:val="00036FBD"/>
    <w:rsid w:val="00043F1C"/>
    <w:rsid w:val="000516E9"/>
    <w:rsid w:val="00052273"/>
    <w:rsid w:val="000522DC"/>
    <w:rsid w:val="0005351A"/>
    <w:rsid w:val="00053CF2"/>
    <w:rsid w:val="00062DAC"/>
    <w:rsid w:val="000630F8"/>
    <w:rsid w:val="000636AB"/>
    <w:rsid w:val="0006503C"/>
    <w:rsid w:val="000654B8"/>
    <w:rsid w:val="000708FC"/>
    <w:rsid w:val="00071303"/>
    <w:rsid w:val="00071CA4"/>
    <w:rsid w:val="00071FAC"/>
    <w:rsid w:val="00072272"/>
    <w:rsid w:val="0007266B"/>
    <w:rsid w:val="000759CA"/>
    <w:rsid w:val="00076203"/>
    <w:rsid w:val="00085D46"/>
    <w:rsid w:val="000865BB"/>
    <w:rsid w:val="000954FF"/>
    <w:rsid w:val="00097132"/>
    <w:rsid w:val="000A69F1"/>
    <w:rsid w:val="000B181D"/>
    <w:rsid w:val="000B2515"/>
    <w:rsid w:val="000B4C53"/>
    <w:rsid w:val="000B5776"/>
    <w:rsid w:val="000B7EA7"/>
    <w:rsid w:val="000C1BEF"/>
    <w:rsid w:val="000C3BA5"/>
    <w:rsid w:val="000C4534"/>
    <w:rsid w:val="000D14E8"/>
    <w:rsid w:val="000D33CF"/>
    <w:rsid w:val="000E2D63"/>
    <w:rsid w:val="000E4D48"/>
    <w:rsid w:val="000E5340"/>
    <w:rsid w:val="000F37A1"/>
    <w:rsid w:val="000F53D2"/>
    <w:rsid w:val="00100CB6"/>
    <w:rsid w:val="001025F1"/>
    <w:rsid w:val="001049A9"/>
    <w:rsid w:val="0010634F"/>
    <w:rsid w:val="00113696"/>
    <w:rsid w:val="00116050"/>
    <w:rsid w:val="0011608C"/>
    <w:rsid w:val="0011677C"/>
    <w:rsid w:val="00117093"/>
    <w:rsid w:val="001276E9"/>
    <w:rsid w:val="001276F6"/>
    <w:rsid w:val="0013053B"/>
    <w:rsid w:val="0013129E"/>
    <w:rsid w:val="001315AA"/>
    <w:rsid w:val="00133CC1"/>
    <w:rsid w:val="001368F7"/>
    <w:rsid w:val="00136962"/>
    <w:rsid w:val="00136E2A"/>
    <w:rsid w:val="00140455"/>
    <w:rsid w:val="00143B6B"/>
    <w:rsid w:val="00144461"/>
    <w:rsid w:val="00145749"/>
    <w:rsid w:val="00146C2B"/>
    <w:rsid w:val="00146EFC"/>
    <w:rsid w:val="001478A5"/>
    <w:rsid w:val="001548A4"/>
    <w:rsid w:val="0015579F"/>
    <w:rsid w:val="00155B86"/>
    <w:rsid w:val="00157CBF"/>
    <w:rsid w:val="00160244"/>
    <w:rsid w:val="00161457"/>
    <w:rsid w:val="00163B2A"/>
    <w:rsid w:val="00164047"/>
    <w:rsid w:val="00171814"/>
    <w:rsid w:val="001815AF"/>
    <w:rsid w:val="00183843"/>
    <w:rsid w:val="00190D5F"/>
    <w:rsid w:val="001976C0"/>
    <w:rsid w:val="001A280C"/>
    <w:rsid w:val="001A2DA0"/>
    <w:rsid w:val="001A3F8B"/>
    <w:rsid w:val="001B1413"/>
    <w:rsid w:val="001B5D14"/>
    <w:rsid w:val="001B6510"/>
    <w:rsid w:val="001C310B"/>
    <w:rsid w:val="001C3536"/>
    <w:rsid w:val="001D2E94"/>
    <w:rsid w:val="001D7B15"/>
    <w:rsid w:val="001E0003"/>
    <w:rsid w:val="001E2705"/>
    <w:rsid w:val="001E74C8"/>
    <w:rsid w:val="001E7A9F"/>
    <w:rsid w:val="00206B06"/>
    <w:rsid w:val="00211065"/>
    <w:rsid w:val="00214652"/>
    <w:rsid w:val="00221872"/>
    <w:rsid w:val="00224BDD"/>
    <w:rsid w:val="00224D60"/>
    <w:rsid w:val="002356ED"/>
    <w:rsid w:val="002370A5"/>
    <w:rsid w:val="002424B4"/>
    <w:rsid w:val="002432CA"/>
    <w:rsid w:val="00252A27"/>
    <w:rsid w:val="00254BC5"/>
    <w:rsid w:val="002559DF"/>
    <w:rsid w:val="00261F7A"/>
    <w:rsid w:val="0026235D"/>
    <w:rsid w:val="00263FC4"/>
    <w:rsid w:val="00265ACE"/>
    <w:rsid w:val="00266C7C"/>
    <w:rsid w:val="0027509E"/>
    <w:rsid w:val="002770F5"/>
    <w:rsid w:val="0028760D"/>
    <w:rsid w:val="00293BDF"/>
    <w:rsid w:val="00295F10"/>
    <w:rsid w:val="002A3559"/>
    <w:rsid w:val="002A5E30"/>
    <w:rsid w:val="002A6941"/>
    <w:rsid w:val="002B01D2"/>
    <w:rsid w:val="002B02CA"/>
    <w:rsid w:val="002B0EBF"/>
    <w:rsid w:val="002B3BED"/>
    <w:rsid w:val="002B7D36"/>
    <w:rsid w:val="002C2878"/>
    <w:rsid w:val="002C3162"/>
    <w:rsid w:val="002C5FFA"/>
    <w:rsid w:val="002D0DC4"/>
    <w:rsid w:val="002D1679"/>
    <w:rsid w:val="002D2C66"/>
    <w:rsid w:val="002D5582"/>
    <w:rsid w:val="002E5444"/>
    <w:rsid w:val="002E5C0E"/>
    <w:rsid w:val="002E6112"/>
    <w:rsid w:val="002F235B"/>
    <w:rsid w:val="002F3106"/>
    <w:rsid w:val="002F3B92"/>
    <w:rsid w:val="002F7274"/>
    <w:rsid w:val="00300333"/>
    <w:rsid w:val="00300CA9"/>
    <w:rsid w:val="00301385"/>
    <w:rsid w:val="00310BD4"/>
    <w:rsid w:val="00315679"/>
    <w:rsid w:val="00317B11"/>
    <w:rsid w:val="00317DC9"/>
    <w:rsid w:val="003338A7"/>
    <w:rsid w:val="00333EBB"/>
    <w:rsid w:val="003345AA"/>
    <w:rsid w:val="00336A78"/>
    <w:rsid w:val="00337776"/>
    <w:rsid w:val="003452FA"/>
    <w:rsid w:val="003470DE"/>
    <w:rsid w:val="003529A4"/>
    <w:rsid w:val="0035491D"/>
    <w:rsid w:val="00355810"/>
    <w:rsid w:val="00355978"/>
    <w:rsid w:val="00357319"/>
    <w:rsid w:val="00360115"/>
    <w:rsid w:val="00360BD0"/>
    <w:rsid w:val="003612CB"/>
    <w:rsid w:val="00362200"/>
    <w:rsid w:val="003629EB"/>
    <w:rsid w:val="00374164"/>
    <w:rsid w:val="00377362"/>
    <w:rsid w:val="0038067B"/>
    <w:rsid w:val="00390400"/>
    <w:rsid w:val="003913C2"/>
    <w:rsid w:val="00392CC7"/>
    <w:rsid w:val="003A1C00"/>
    <w:rsid w:val="003A2A3B"/>
    <w:rsid w:val="003A3356"/>
    <w:rsid w:val="003A3F7C"/>
    <w:rsid w:val="003A4B55"/>
    <w:rsid w:val="003B1F2E"/>
    <w:rsid w:val="003B22D3"/>
    <w:rsid w:val="003B52BA"/>
    <w:rsid w:val="003B7BB3"/>
    <w:rsid w:val="003C4143"/>
    <w:rsid w:val="003C5923"/>
    <w:rsid w:val="003D2C19"/>
    <w:rsid w:val="003D3003"/>
    <w:rsid w:val="003E12D3"/>
    <w:rsid w:val="003E2817"/>
    <w:rsid w:val="003F03C5"/>
    <w:rsid w:val="003F41C3"/>
    <w:rsid w:val="003F727C"/>
    <w:rsid w:val="00401A55"/>
    <w:rsid w:val="00402BD4"/>
    <w:rsid w:val="00406DE0"/>
    <w:rsid w:val="00407101"/>
    <w:rsid w:val="00415BE3"/>
    <w:rsid w:val="00415F1B"/>
    <w:rsid w:val="00417F0E"/>
    <w:rsid w:val="004202CA"/>
    <w:rsid w:val="004236E2"/>
    <w:rsid w:val="00423A97"/>
    <w:rsid w:val="00426821"/>
    <w:rsid w:val="00432614"/>
    <w:rsid w:val="00433777"/>
    <w:rsid w:val="00434064"/>
    <w:rsid w:val="004475EA"/>
    <w:rsid w:val="00456430"/>
    <w:rsid w:val="00456F05"/>
    <w:rsid w:val="00462B00"/>
    <w:rsid w:val="00463A40"/>
    <w:rsid w:val="00473042"/>
    <w:rsid w:val="00474907"/>
    <w:rsid w:val="004751B7"/>
    <w:rsid w:val="00476628"/>
    <w:rsid w:val="00476647"/>
    <w:rsid w:val="004774E5"/>
    <w:rsid w:val="00480A9B"/>
    <w:rsid w:val="0048181A"/>
    <w:rsid w:val="0048651B"/>
    <w:rsid w:val="004870A4"/>
    <w:rsid w:val="00490946"/>
    <w:rsid w:val="00491F63"/>
    <w:rsid w:val="00492BC0"/>
    <w:rsid w:val="004937A5"/>
    <w:rsid w:val="00493A02"/>
    <w:rsid w:val="004A18A4"/>
    <w:rsid w:val="004A34C4"/>
    <w:rsid w:val="004A5E31"/>
    <w:rsid w:val="004A6F4B"/>
    <w:rsid w:val="004B2C98"/>
    <w:rsid w:val="004B347C"/>
    <w:rsid w:val="004B3B77"/>
    <w:rsid w:val="004B48BB"/>
    <w:rsid w:val="004B7AF4"/>
    <w:rsid w:val="004C73AF"/>
    <w:rsid w:val="004D4CE2"/>
    <w:rsid w:val="004D7071"/>
    <w:rsid w:val="004D7912"/>
    <w:rsid w:val="004E101C"/>
    <w:rsid w:val="004E1278"/>
    <w:rsid w:val="004F11E8"/>
    <w:rsid w:val="004F346E"/>
    <w:rsid w:val="004F379A"/>
    <w:rsid w:val="004F55C0"/>
    <w:rsid w:val="00506189"/>
    <w:rsid w:val="005103B0"/>
    <w:rsid w:val="005156E1"/>
    <w:rsid w:val="00523301"/>
    <w:rsid w:val="005233B3"/>
    <w:rsid w:val="0052370E"/>
    <w:rsid w:val="00526E42"/>
    <w:rsid w:val="0053336B"/>
    <w:rsid w:val="00536396"/>
    <w:rsid w:val="00537A0E"/>
    <w:rsid w:val="005440A1"/>
    <w:rsid w:val="00544B01"/>
    <w:rsid w:val="00555F55"/>
    <w:rsid w:val="00563945"/>
    <w:rsid w:val="005662D0"/>
    <w:rsid w:val="00577D96"/>
    <w:rsid w:val="00580199"/>
    <w:rsid w:val="00580DE7"/>
    <w:rsid w:val="00581E7A"/>
    <w:rsid w:val="00585236"/>
    <w:rsid w:val="00590524"/>
    <w:rsid w:val="00593CD4"/>
    <w:rsid w:val="005A08CF"/>
    <w:rsid w:val="005B24FD"/>
    <w:rsid w:val="005B6ABC"/>
    <w:rsid w:val="005C4BB6"/>
    <w:rsid w:val="005C5014"/>
    <w:rsid w:val="005C7907"/>
    <w:rsid w:val="005D0460"/>
    <w:rsid w:val="005D1981"/>
    <w:rsid w:val="005D3C98"/>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50B0"/>
    <w:rsid w:val="006154F9"/>
    <w:rsid w:val="00617A66"/>
    <w:rsid w:val="00621D7B"/>
    <w:rsid w:val="00624E10"/>
    <w:rsid w:val="006272BB"/>
    <w:rsid w:val="00632480"/>
    <w:rsid w:val="00633AE8"/>
    <w:rsid w:val="006340A4"/>
    <w:rsid w:val="00636137"/>
    <w:rsid w:val="006424B9"/>
    <w:rsid w:val="006454DD"/>
    <w:rsid w:val="0065531D"/>
    <w:rsid w:val="0065655F"/>
    <w:rsid w:val="0065682A"/>
    <w:rsid w:val="006671A2"/>
    <w:rsid w:val="006702D6"/>
    <w:rsid w:val="00672506"/>
    <w:rsid w:val="006757AB"/>
    <w:rsid w:val="006763C3"/>
    <w:rsid w:val="00677691"/>
    <w:rsid w:val="006777A6"/>
    <w:rsid w:val="006821EB"/>
    <w:rsid w:val="00686829"/>
    <w:rsid w:val="00686866"/>
    <w:rsid w:val="00691FA5"/>
    <w:rsid w:val="006923F6"/>
    <w:rsid w:val="0069323F"/>
    <w:rsid w:val="00694004"/>
    <w:rsid w:val="00694C52"/>
    <w:rsid w:val="006A0F63"/>
    <w:rsid w:val="006A10ED"/>
    <w:rsid w:val="006A18B6"/>
    <w:rsid w:val="006A4091"/>
    <w:rsid w:val="006A509B"/>
    <w:rsid w:val="006B72B5"/>
    <w:rsid w:val="006C34BE"/>
    <w:rsid w:val="006C49B3"/>
    <w:rsid w:val="006D64EC"/>
    <w:rsid w:val="006D7DEE"/>
    <w:rsid w:val="006E7E8E"/>
    <w:rsid w:val="006F23D5"/>
    <w:rsid w:val="006F636F"/>
    <w:rsid w:val="006F7E18"/>
    <w:rsid w:val="007102EA"/>
    <w:rsid w:val="00721153"/>
    <w:rsid w:val="00722E63"/>
    <w:rsid w:val="0072530D"/>
    <w:rsid w:val="007348BD"/>
    <w:rsid w:val="00746F4E"/>
    <w:rsid w:val="00762CD6"/>
    <w:rsid w:val="00763F05"/>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5EFF"/>
    <w:rsid w:val="0079789B"/>
    <w:rsid w:val="007A6918"/>
    <w:rsid w:val="007A7762"/>
    <w:rsid w:val="007B09D4"/>
    <w:rsid w:val="007B299C"/>
    <w:rsid w:val="007C4DBF"/>
    <w:rsid w:val="007D7457"/>
    <w:rsid w:val="007E11F9"/>
    <w:rsid w:val="007E1C6C"/>
    <w:rsid w:val="007E4183"/>
    <w:rsid w:val="007E570E"/>
    <w:rsid w:val="007F12E5"/>
    <w:rsid w:val="007F3801"/>
    <w:rsid w:val="00800D8F"/>
    <w:rsid w:val="00801E9D"/>
    <w:rsid w:val="008030E1"/>
    <w:rsid w:val="00805124"/>
    <w:rsid w:val="00811982"/>
    <w:rsid w:val="00815A9F"/>
    <w:rsid w:val="00816612"/>
    <w:rsid w:val="0083059D"/>
    <w:rsid w:val="0083099F"/>
    <w:rsid w:val="008346CB"/>
    <w:rsid w:val="00837682"/>
    <w:rsid w:val="008425CD"/>
    <w:rsid w:val="008449D6"/>
    <w:rsid w:val="00852571"/>
    <w:rsid w:val="00854FBF"/>
    <w:rsid w:val="0085507B"/>
    <w:rsid w:val="008551DE"/>
    <w:rsid w:val="00855E82"/>
    <w:rsid w:val="00861983"/>
    <w:rsid w:val="0086338C"/>
    <w:rsid w:val="00865474"/>
    <w:rsid w:val="00876FC2"/>
    <w:rsid w:val="00880043"/>
    <w:rsid w:val="00880DFB"/>
    <w:rsid w:val="0088219F"/>
    <w:rsid w:val="00891216"/>
    <w:rsid w:val="008A3637"/>
    <w:rsid w:val="008B572F"/>
    <w:rsid w:val="008B74C7"/>
    <w:rsid w:val="008C7295"/>
    <w:rsid w:val="008D1931"/>
    <w:rsid w:val="008D6648"/>
    <w:rsid w:val="008E41BC"/>
    <w:rsid w:val="008E57DD"/>
    <w:rsid w:val="008E595B"/>
    <w:rsid w:val="008E6F60"/>
    <w:rsid w:val="008F332C"/>
    <w:rsid w:val="0090009C"/>
    <w:rsid w:val="009073AF"/>
    <w:rsid w:val="00922EA7"/>
    <w:rsid w:val="00922FAD"/>
    <w:rsid w:val="00924D68"/>
    <w:rsid w:val="009278C1"/>
    <w:rsid w:val="00940CA7"/>
    <w:rsid w:val="009462F3"/>
    <w:rsid w:val="00952B58"/>
    <w:rsid w:val="00953230"/>
    <w:rsid w:val="0096091D"/>
    <w:rsid w:val="00963C1A"/>
    <w:rsid w:val="00965248"/>
    <w:rsid w:val="009709E9"/>
    <w:rsid w:val="009711FE"/>
    <w:rsid w:val="00973E05"/>
    <w:rsid w:val="00976AE0"/>
    <w:rsid w:val="009833F4"/>
    <w:rsid w:val="00984521"/>
    <w:rsid w:val="0098782C"/>
    <w:rsid w:val="009915AF"/>
    <w:rsid w:val="00991DF9"/>
    <w:rsid w:val="009A118B"/>
    <w:rsid w:val="009A1A3C"/>
    <w:rsid w:val="009A65A0"/>
    <w:rsid w:val="009A7B32"/>
    <w:rsid w:val="009B14A8"/>
    <w:rsid w:val="009C37C7"/>
    <w:rsid w:val="009D7A16"/>
    <w:rsid w:val="009E06EC"/>
    <w:rsid w:val="009E19C1"/>
    <w:rsid w:val="009E35FE"/>
    <w:rsid w:val="009F1244"/>
    <w:rsid w:val="009F1BDE"/>
    <w:rsid w:val="009F2417"/>
    <w:rsid w:val="009F2763"/>
    <w:rsid w:val="009F2A0E"/>
    <w:rsid w:val="009F2BA3"/>
    <w:rsid w:val="009F35A9"/>
    <w:rsid w:val="009F59EC"/>
    <w:rsid w:val="00A01840"/>
    <w:rsid w:val="00A04F83"/>
    <w:rsid w:val="00A05659"/>
    <w:rsid w:val="00A068CD"/>
    <w:rsid w:val="00A10ACF"/>
    <w:rsid w:val="00A150E3"/>
    <w:rsid w:val="00A16A85"/>
    <w:rsid w:val="00A1769A"/>
    <w:rsid w:val="00A21826"/>
    <w:rsid w:val="00A2286A"/>
    <w:rsid w:val="00A22AA1"/>
    <w:rsid w:val="00A27F68"/>
    <w:rsid w:val="00A35213"/>
    <w:rsid w:val="00A36EE4"/>
    <w:rsid w:val="00A40A79"/>
    <w:rsid w:val="00A4656C"/>
    <w:rsid w:val="00A54526"/>
    <w:rsid w:val="00A54F42"/>
    <w:rsid w:val="00A611A2"/>
    <w:rsid w:val="00A62D1E"/>
    <w:rsid w:val="00A62DDE"/>
    <w:rsid w:val="00A6352E"/>
    <w:rsid w:val="00A6532B"/>
    <w:rsid w:val="00A66A7E"/>
    <w:rsid w:val="00A679C7"/>
    <w:rsid w:val="00A735F3"/>
    <w:rsid w:val="00A74FE3"/>
    <w:rsid w:val="00A75617"/>
    <w:rsid w:val="00A7662A"/>
    <w:rsid w:val="00A80F44"/>
    <w:rsid w:val="00A84852"/>
    <w:rsid w:val="00A91736"/>
    <w:rsid w:val="00A925D7"/>
    <w:rsid w:val="00A93400"/>
    <w:rsid w:val="00A93A93"/>
    <w:rsid w:val="00A940FB"/>
    <w:rsid w:val="00A9540E"/>
    <w:rsid w:val="00A9725B"/>
    <w:rsid w:val="00AA1B44"/>
    <w:rsid w:val="00AA5947"/>
    <w:rsid w:val="00AA759F"/>
    <w:rsid w:val="00AB58BF"/>
    <w:rsid w:val="00AC36E3"/>
    <w:rsid w:val="00AC3DA6"/>
    <w:rsid w:val="00AC4FAF"/>
    <w:rsid w:val="00AC56B3"/>
    <w:rsid w:val="00AC57DF"/>
    <w:rsid w:val="00AC7BDF"/>
    <w:rsid w:val="00AD6488"/>
    <w:rsid w:val="00AD77CD"/>
    <w:rsid w:val="00AD7E1C"/>
    <w:rsid w:val="00AE0E01"/>
    <w:rsid w:val="00AE56DD"/>
    <w:rsid w:val="00AF5B7A"/>
    <w:rsid w:val="00AF7232"/>
    <w:rsid w:val="00B039A1"/>
    <w:rsid w:val="00B07049"/>
    <w:rsid w:val="00B21E94"/>
    <w:rsid w:val="00B23A8C"/>
    <w:rsid w:val="00B33174"/>
    <w:rsid w:val="00B366A7"/>
    <w:rsid w:val="00B422EB"/>
    <w:rsid w:val="00B42C9B"/>
    <w:rsid w:val="00B43FB2"/>
    <w:rsid w:val="00B458E2"/>
    <w:rsid w:val="00B45E24"/>
    <w:rsid w:val="00B47BF6"/>
    <w:rsid w:val="00B536FA"/>
    <w:rsid w:val="00B573BD"/>
    <w:rsid w:val="00B57C4A"/>
    <w:rsid w:val="00B63DE8"/>
    <w:rsid w:val="00B65021"/>
    <w:rsid w:val="00B66F94"/>
    <w:rsid w:val="00B67D06"/>
    <w:rsid w:val="00B70B76"/>
    <w:rsid w:val="00B717AC"/>
    <w:rsid w:val="00B75A11"/>
    <w:rsid w:val="00B76E2D"/>
    <w:rsid w:val="00B77DF2"/>
    <w:rsid w:val="00B83E15"/>
    <w:rsid w:val="00B85D81"/>
    <w:rsid w:val="00B90BF4"/>
    <w:rsid w:val="00B925F0"/>
    <w:rsid w:val="00B9397F"/>
    <w:rsid w:val="00B94D61"/>
    <w:rsid w:val="00B96B54"/>
    <w:rsid w:val="00BA20E6"/>
    <w:rsid w:val="00BA3C06"/>
    <w:rsid w:val="00BA47B0"/>
    <w:rsid w:val="00BA68C4"/>
    <w:rsid w:val="00BA7F05"/>
    <w:rsid w:val="00BB0D79"/>
    <w:rsid w:val="00BB1B38"/>
    <w:rsid w:val="00BC0F8D"/>
    <w:rsid w:val="00BC4D22"/>
    <w:rsid w:val="00BC72F3"/>
    <w:rsid w:val="00BD54F8"/>
    <w:rsid w:val="00BD5DD2"/>
    <w:rsid w:val="00BD73CF"/>
    <w:rsid w:val="00BE1F1B"/>
    <w:rsid w:val="00BE361E"/>
    <w:rsid w:val="00BE62AB"/>
    <w:rsid w:val="00BF0386"/>
    <w:rsid w:val="00C009E8"/>
    <w:rsid w:val="00C00CFA"/>
    <w:rsid w:val="00C02A50"/>
    <w:rsid w:val="00C12DD8"/>
    <w:rsid w:val="00C1568B"/>
    <w:rsid w:val="00C158C6"/>
    <w:rsid w:val="00C2552C"/>
    <w:rsid w:val="00C255BD"/>
    <w:rsid w:val="00C313FD"/>
    <w:rsid w:val="00C341E6"/>
    <w:rsid w:val="00C34214"/>
    <w:rsid w:val="00C35619"/>
    <w:rsid w:val="00C3749B"/>
    <w:rsid w:val="00C42894"/>
    <w:rsid w:val="00C44A6E"/>
    <w:rsid w:val="00C46AA2"/>
    <w:rsid w:val="00C54399"/>
    <w:rsid w:val="00C55271"/>
    <w:rsid w:val="00C57549"/>
    <w:rsid w:val="00C57C53"/>
    <w:rsid w:val="00C6175C"/>
    <w:rsid w:val="00C649A7"/>
    <w:rsid w:val="00C70262"/>
    <w:rsid w:val="00C71555"/>
    <w:rsid w:val="00C72B1F"/>
    <w:rsid w:val="00C7577B"/>
    <w:rsid w:val="00C846B6"/>
    <w:rsid w:val="00C8776B"/>
    <w:rsid w:val="00C915A5"/>
    <w:rsid w:val="00C91CD9"/>
    <w:rsid w:val="00C93DB7"/>
    <w:rsid w:val="00C95277"/>
    <w:rsid w:val="00C95F89"/>
    <w:rsid w:val="00CA4EC5"/>
    <w:rsid w:val="00CB1AD5"/>
    <w:rsid w:val="00CB5402"/>
    <w:rsid w:val="00CB798D"/>
    <w:rsid w:val="00CC3277"/>
    <w:rsid w:val="00CC36E7"/>
    <w:rsid w:val="00CC7909"/>
    <w:rsid w:val="00CD3DC8"/>
    <w:rsid w:val="00CD6223"/>
    <w:rsid w:val="00CD706F"/>
    <w:rsid w:val="00CE0236"/>
    <w:rsid w:val="00CE02D3"/>
    <w:rsid w:val="00CE6979"/>
    <w:rsid w:val="00CF26C0"/>
    <w:rsid w:val="00CF3E42"/>
    <w:rsid w:val="00CF6D1F"/>
    <w:rsid w:val="00D0302D"/>
    <w:rsid w:val="00D05460"/>
    <w:rsid w:val="00D0657F"/>
    <w:rsid w:val="00D224DA"/>
    <w:rsid w:val="00D272C9"/>
    <w:rsid w:val="00D2735B"/>
    <w:rsid w:val="00D351CB"/>
    <w:rsid w:val="00D43EA8"/>
    <w:rsid w:val="00D44196"/>
    <w:rsid w:val="00D47164"/>
    <w:rsid w:val="00D54D86"/>
    <w:rsid w:val="00D641D2"/>
    <w:rsid w:val="00D641EE"/>
    <w:rsid w:val="00D70DCC"/>
    <w:rsid w:val="00D77D5D"/>
    <w:rsid w:val="00D820D2"/>
    <w:rsid w:val="00D82858"/>
    <w:rsid w:val="00D90ACE"/>
    <w:rsid w:val="00D95CA3"/>
    <w:rsid w:val="00DA217C"/>
    <w:rsid w:val="00DA5A82"/>
    <w:rsid w:val="00DB152E"/>
    <w:rsid w:val="00DB314B"/>
    <w:rsid w:val="00DB6A12"/>
    <w:rsid w:val="00DC1454"/>
    <w:rsid w:val="00DC1C10"/>
    <w:rsid w:val="00DC613F"/>
    <w:rsid w:val="00DC7D1D"/>
    <w:rsid w:val="00DD33B9"/>
    <w:rsid w:val="00DD68FC"/>
    <w:rsid w:val="00DE0178"/>
    <w:rsid w:val="00DE07C5"/>
    <w:rsid w:val="00DF126D"/>
    <w:rsid w:val="00DF1D0E"/>
    <w:rsid w:val="00E026E4"/>
    <w:rsid w:val="00E079E2"/>
    <w:rsid w:val="00E10AAE"/>
    <w:rsid w:val="00E11D94"/>
    <w:rsid w:val="00E12EC5"/>
    <w:rsid w:val="00E15B58"/>
    <w:rsid w:val="00E20B6D"/>
    <w:rsid w:val="00E20BA1"/>
    <w:rsid w:val="00E211A5"/>
    <w:rsid w:val="00E27B79"/>
    <w:rsid w:val="00E33709"/>
    <w:rsid w:val="00E5062B"/>
    <w:rsid w:val="00E6040A"/>
    <w:rsid w:val="00E6258B"/>
    <w:rsid w:val="00E63B29"/>
    <w:rsid w:val="00E66070"/>
    <w:rsid w:val="00E74856"/>
    <w:rsid w:val="00E76ADC"/>
    <w:rsid w:val="00E77287"/>
    <w:rsid w:val="00E820BC"/>
    <w:rsid w:val="00E82B33"/>
    <w:rsid w:val="00E83339"/>
    <w:rsid w:val="00E8727F"/>
    <w:rsid w:val="00E91885"/>
    <w:rsid w:val="00E9379D"/>
    <w:rsid w:val="00EA3323"/>
    <w:rsid w:val="00EA3BB5"/>
    <w:rsid w:val="00EA4CBA"/>
    <w:rsid w:val="00EA5CE1"/>
    <w:rsid w:val="00EA62B0"/>
    <w:rsid w:val="00EB0F8B"/>
    <w:rsid w:val="00EB2CDE"/>
    <w:rsid w:val="00EB333F"/>
    <w:rsid w:val="00EB3FA4"/>
    <w:rsid w:val="00EC3816"/>
    <w:rsid w:val="00EC7AB4"/>
    <w:rsid w:val="00ED1738"/>
    <w:rsid w:val="00ED633F"/>
    <w:rsid w:val="00EE2EE8"/>
    <w:rsid w:val="00EE5D1C"/>
    <w:rsid w:val="00EF1344"/>
    <w:rsid w:val="00EF494A"/>
    <w:rsid w:val="00EF5692"/>
    <w:rsid w:val="00EF77B2"/>
    <w:rsid w:val="00F12D1F"/>
    <w:rsid w:val="00F13437"/>
    <w:rsid w:val="00F20676"/>
    <w:rsid w:val="00F20EBF"/>
    <w:rsid w:val="00F222C1"/>
    <w:rsid w:val="00F23F6A"/>
    <w:rsid w:val="00F24D99"/>
    <w:rsid w:val="00F30253"/>
    <w:rsid w:val="00F30F44"/>
    <w:rsid w:val="00F35935"/>
    <w:rsid w:val="00F37009"/>
    <w:rsid w:val="00F4309C"/>
    <w:rsid w:val="00F4314D"/>
    <w:rsid w:val="00F43DEC"/>
    <w:rsid w:val="00F44698"/>
    <w:rsid w:val="00F45ACA"/>
    <w:rsid w:val="00F45FDA"/>
    <w:rsid w:val="00F46B14"/>
    <w:rsid w:val="00F51B93"/>
    <w:rsid w:val="00F56DD6"/>
    <w:rsid w:val="00F65EF0"/>
    <w:rsid w:val="00F67A3F"/>
    <w:rsid w:val="00F67C30"/>
    <w:rsid w:val="00F704BF"/>
    <w:rsid w:val="00F742B9"/>
    <w:rsid w:val="00F7541D"/>
    <w:rsid w:val="00F9260C"/>
    <w:rsid w:val="00F92B2B"/>
    <w:rsid w:val="00F94652"/>
    <w:rsid w:val="00F9666C"/>
    <w:rsid w:val="00F97A2B"/>
    <w:rsid w:val="00FA16C8"/>
    <w:rsid w:val="00FA1739"/>
    <w:rsid w:val="00FA3795"/>
    <w:rsid w:val="00FA4B32"/>
    <w:rsid w:val="00FB0EF2"/>
    <w:rsid w:val="00FB3E18"/>
    <w:rsid w:val="00FB52DC"/>
    <w:rsid w:val="00FC3CD5"/>
    <w:rsid w:val="00FC6BC0"/>
    <w:rsid w:val="00FD0850"/>
    <w:rsid w:val="00FD4292"/>
    <w:rsid w:val="00FE2592"/>
    <w:rsid w:val="00FE508C"/>
    <w:rsid w:val="00FF1F66"/>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600</TotalTime>
  <Pages>2</Pages>
  <Words>520</Words>
  <Characters>2970</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134</cp:revision>
  <dcterms:created xsi:type="dcterms:W3CDTF">2022-04-24T07:40:00Z</dcterms:created>
  <dcterms:modified xsi:type="dcterms:W3CDTF">2023-11-03T06:33:00Z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